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F52C3" w14:textId="77777777" w:rsidR="002251CD" w:rsidRDefault="002251CD">
      <w:pPr>
        <w:pStyle w:val="BodyText"/>
        <w:rPr>
          <w:sz w:val="20"/>
        </w:rPr>
      </w:pPr>
    </w:p>
    <w:p w14:paraId="60F6CD2B" w14:textId="77777777" w:rsidR="002251CD" w:rsidRDefault="002251CD">
      <w:pPr>
        <w:pStyle w:val="BodyText"/>
        <w:rPr>
          <w:sz w:val="20"/>
        </w:rPr>
      </w:pPr>
    </w:p>
    <w:p w14:paraId="7729CBA6" w14:textId="77777777" w:rsidR="002251CD" w:rsidRDefault="002251CD">
      <w:pPr>
        <w:pStyle w:val="BodyText"/>
        <w:spacing w:before="1"/>
        <w:rPr>
          <w:sz w:val="14"/>
        </w:rPr>
      </w:pP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2"/>
        <w:gridCol w:w="2597"/>
        <w:gridCol w:w="3439"/>
        <w:gridCol w:w="3366"/>
      </w:tblGrid>
      <w:tr w:rsidR="002251CD" w14:paraId="5DA68E7A" w14:textId="77777777">
        <w:trPr>
          <w:trHeight w:val="257"/>
        </w:trPr>
        <w:tc>
          <w:tcPr>
            <w:tcW w:w="1302" w:type="dxa"/>
            <w:tcBorders>
              <w:top w:val="single" w:sz="2" w:space="0" w:color="000000"/>
            </w:tcBorders>
            <w:shd w:val="clear" w:color="auto" w:fill="94B3D6"/>
          </w:tcPr>
          <w:p w14:paraId="1976A820" w14:textId="77777777" w:rsidR="002251CD" w:rsidRDefault="00000000">
            <w:pPr>
              <w:pStyle w:val="TableParagraph"/>
              <w:spacing w:line="235" w:lineRule="exact"/>
            </w:pPr>
            <w:r>
              <w:t>Booking</w:t>
            </w:r>
            <w:r>
              <w:rPr>
                <w:spacing w:val="-9"/>
              </w:rPr>
              <w:t xml:space="preserve"> </w:t>
            </w:r>
            <w:r>
              <w:t>Date</w:t>
            </w:r>
          </w:p>
        </w:tc>
        <w:tc>
          <w:tcPr>
            <w:tcW w:w="2597" w:type="dxa"/>
            <w:vMerge w:val="restart"/>
            <w:tcBorders>
              <w:top w:val="single" w:sz="2" w:space="0" w:color="000000"/>
              <w:bottom w:val="single" w:sz="12" w:space="0" w:color="000000"/>
            </w:tcBorders>
          </w:tcPr>
          <w:p w14:paraId="781CA12C" w14:textId="44A83BE1" w:rsidR="002251CD" w:rsidRDefault="00515E73">
            <w:pPr>
              <w:pStyle w:val="TableParagraph"/>
              <w:ind w:left="55"/>
            </w:pPr>
            <w:r>
              <w:t>2</w:t>
            </w:r>
            <w:r w:rsidR="00FA3224">
              <w:t>5</w:t>
            </w:r>
            <w:r w:rsidR="00A12D59">
              <w:t>/</w:t>
            </w:r>
            <w:r w:rsidR="00FA3224">
              <w:t>11</w:t>
            </w:r>
            <w:r w:rsidR="00A12D59">
              <w:t>/2024</w:t>
            </w:r>
          </w:p>
          <w:p w14:paraId="7D60151C" w14:textId="5324954A" w:rsidR="002251CD" w:rsidRDefault="00FA3224">
            <w:pPr>
              <w:pStyle w:val="TableParagraph"/>
              <w:spacing w:before="25"/>
              <w:ind w:left="38"/>
            </w:pPr>
            <w:r>
              <w:t>Lata Gupta</w:t>
            </w:r>
          </w:p>
          <w:p w14:paraId="6A16C463" w14:textId="5FFB7E23" w:rsidR="002251CD" w:rsidRDefault="00A12D59">
            <w:pPr>
              <w:pStyle w:val="TableParagraph"/>
              <w:spacing w:before="16"/>
              <w:ind w:left="-3"/>
            </w:pPr>
            <w:r>
              <w:t>Dr. A</w:t>
            </w:r>
            <w:r w:rsidR="00D5391B">
              <w:t xml:space="preserve">mish Vora </w:t>
            </w:r>
          </w:p>
        </w:tc>
        <w:tc>
          <w:tcPr>
            <w:tcW w:w="3439" w:type="dxa"/>
            <w:vMerge w:val="restart"/>
            <w:tcBorders>
              <w:top w:val="single" w:sz="2" w:space="0" w:color="000000"/>
              <w:bottom w:val="single" w:sz="12" w:space="0" w:color="000000"/>
            </w:tcBorders>
          </w:tcPr>
          <w:p w14:paraId="0678F57E" w14:textId="7FFA1A07" w:rsidR="002251CD" w:rsidRDefault="0050611E" w:rsidP="0050611E">
            <w:pPr>
              <w:pStyle w:val="TableParagraph"/>
            </w:pPr>
            <w:r>
              <w:t xml:space="preserve">    Patient</w:t>
            </w:r>
            <w:r>
              <w:rPr>
                <w:spacing w:val="-10"/>
              </w:rPr>
              <w:t xml:space="preserve"> </w:t>
            </w:r>
            <w:proofErr w:type="gramStart"/>
            <w:r>
              <w:t>ID</w:t>
            </w:r>
            <w:r>
              <w:rPr>
                <w:spacing w:val="-6"/>
              </w:rPr>
              <w:t xml:space="preserve"> </w:t>
            </w:r>
            <w:r w:rsidR="00A12D59">
              <w:rPr>
                <w:spacing w:val="-6"/>
              </w:rPr>
              <w:t>:</w:t>
            </w:r>
            <w:proofErr w:type="gramEnd"/>
            <w:r w:rsidR="00A12D59">
              <w:rPr>
                <w:spacing w:val="-6"/>
              </w:rPr>
              <w:t xml:space="preserve">  </w:t>
            </w:r>
            <w:r>
              <w:t>012</w:t>
            </w:r>
            <w:r w:rsidR="00A12D59">
              <w:t>4</w:t>
            </w:r>
            <w:r w:rsidR="00FA3224">
              <w:t>11250196</w:t>
            </w:r>
          </w:p>
          <w:p w14:paraId="696E88FC" w14:textId="03488E73" w:rsidR="002251CD" w:rsidRDefault="0050611E" w:rsidP="0050611E">
            <w:pPr>
              <w:pStyle w:val="TableParagraph"/>
              <w:tabs>
                <w:tab w:val="left" w:pos="2289"/>
              </w:tabs>
              <w:spacing w:before="25"/>
            </w:pPr>
            <w:r>
              <w:t xml:space="preserve">    Age</w:t>
            </w:r>
            <w:r w:rsidR="00A12D59">
              <w:t xml:space="preserve"> </w:t>
            </w:r>
            <w:r w:rsidR="00FE36FB">
              <w:t xml:space="preserve">       </w:t>
            </w:r>
            <w:proofErr w:type="gramStart"/>
            <w:r w:rsidR="00FE36FB">
              <w:t xml:space="preserve">  </w:t>
            </w:r>
            <w:r w:rsidR="00A12D59">
              <w:t>:</w:t>
            </w:r>
            <w:proofErr w:type="gramEnd"/>
            <w:r w:rsidR="00FE36FB">
              <w:t xml:space="preserve">  </w:t>
            </w:r>
            <w:r w:rsidR="00FA3224">
              <w:t>81</w:t>
            </w:r>
            <w:r>
              <w:rPr>
                <w:spacing w:val="-2"/>
              </w:rPr>
              <w:t xml:space="preserve"> </w:t>
            </w:r>
            <w:r>
              <w:t>Years</w:t>
            </w:r>
          </w:p>
        </w:tc>
        <w:tc>
          <w:tcPr>
            <w:tcW w:w="3366" w:type="dxa"/>
            <w:vMerge w:val="restart"/>
            <w:tcBorders>
              <w:top w:val="single" w:sz="2" w:space="0" w:color="000000"/>
              <w:bottom w:val="single" w:sz="12" w:space="0" w:color="000000"/>
            </w:tcBorders>
          </w:tcPr>
          <w:p w14:paraId="508A1DD0" w14:textId="72095077" w:rsidR="002251CD" w:rsidRDefault="0050611E" w:rsidP="0050611E">
            <w:pPr>
              <w:pStyle w:val="TableParagraph"/>
              <w:spacing w:line="264" w:lineRule="auto"/>
              <w:ind w:right="934"/>
            </w:pPr>
            <w:r>
              <w:t>Reported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42"/>
              </w:rPr>
              <w:t xml:space="preserve"> </w:t>
            </w:r>
            <w:r w:rsidR="00515E73">
              <w:t>0</w:t>
            </w:r>
            <w:r w:rsidR="00FA3224">
              <w:t>2</w:t>
            </w:r>
            <w:r w:rsidR="00A12D59">
              <w:t>/</w:t>
            </w:r>
            <w:r w:rsidR="00515E73">
              <w:t>1</w:t>
            </w:r>
            <w:r w:rsidR="00FA3224">
              <w:t>2</w:t>
            </w:r>
            <w:r>
              <w:t>/202</w:t>
            </w:r>
            <w:r w:rsidR="00A12D59">
              <w:t>4</w:t>
            </w:r>
            <w:r>
              <w:rPr>
                <w:spacing w:val="-52"/>
              </w:rPr>
              <w:t xml:space="preserve"> </w:t>
            </w:r>
            <w:r>
              <w:t>Sex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Female</w:t>
            </w:r>
          </w:p>
        </w:tc>
      </w:tr>
      <w:tr w:rsidR="002251CD" w14:paraId="1A89B145" w14:textId="77777777">
        <w:trPr>
          <w:trHeight w:val="243"/>
        </w:trPr>
        <w:tc>
          <w:tcPr>
            <w:tcW w:w="1302" w:type="dxa"/>
            <w:shd w:val="clear" w:color="auto" w:fill="94B3D6"/>
          </w:tcPr>
          <w:p w14:paraId="59B4B6F6" w14:textId="77777777" w:rsidR="002251CD" w:rsidRDefault="00000000">
            <w:pPr>
              <w:pStyle w:val="TableParagraph"/>
              <w:spacing w:before="0" w:line="224" w:lineRule="exact"/>
              <w:ind w:left="109"/>
            </w:pPr>
            <w:r>
              <w:t>Name</w:t>
            </w:r>
          </w:p>
        </w:tc>
        <w:tc>
          <w:tcPr>
            <w:tcW w:w="2597" w:type="dxa"/>
            <w:vMerge/>
            <w:tcBorders>
              <w:top w:val="nil"/>
              <w:bottom w:val="single" w:sz="12" w:space="0" w:color="000000"/>
            </w:tcBorders>
          </w:tcPr>
          <w:p w14:paraId="04DBD0A4" w14:textId="77777777" w:rsidR="002251CD" w:rsidRDefault="002251CD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vMerge/>
            <w:tcBorders>
              <w:top w:val="nil"/>
              <w:bottom w:val="single" w:sz="12" w:space="0" w:color="000000"/>
            </w:tcBorders>
          </w:tcPr>
          <w:p w14:paraId="7FDFCBD0" w14:textId="77777777" w:rsidR="002251CD" w:rsidRDefault="002251CD">
            <w:pPr>
              <w:rPr>
                <w:sz w:val="2"/>
                <w:szCs w:val="2"/>
              </w:rPr>
            </w:pPr>
          </w:p>
        </w:tc>
        <w:tc>
          <w:tcPr>
            <w:tcW w:w="3366" w:type="dxa"/>
            <w:vMerge/>
            <w:tcBorders>
              <w:top w:val="nil"/>
              <w:bottom w:val="single" w:sz="12" w:space="0" w:color="000000"/>
            </w:tcBorders>
          </w:tcPr>
          <w:p w14:paraId="479AD928" w14:textId="77777777" w:rsidR="002251CD" w:rsidRDefault="002251CD">
            <w:pPr>
              <w:rPr>
                <w:sz w:val="2"/>
                <w:szCs w:val="2"/>
              </w:rPr>
            </w:pPr>
          </w:p>
        </w:tc>
      </w:tr>
      <w:tr w:rsidR="002251CD" w14:paraId="347AD12A" w14:textId="77777777">
        <w:trPr>
          <w:trHeight w:val="332"/>
        </w:trPr>
        <w:tc>
          <w:tcPr>
            <w:tcW w:w="1302" w:type="dxa"/>
            <w:tcBorders>
              <w:bottom w:val="single" w:sz="6" w:space="0" w:color="000000"/>
            </w:tcBorders>
            <w:shd w:val="clear" w:color="auto" w:fill="94B3D6"/>
          </w:tcPr>
          <w:p w14:paraId="2F626076" w14:textId="77777777" w:rsidR="002251CD" w:rsidRDefault="00000000">
            <w:pPr>
              <w:pStyle w:val="TableParagraph"/>
              <w:spacing w:before="0" w:line="242" w:lineRule="exact"/>
            </w:pPr>
            <w:r>
              <w:t>Ref</w:t>
            </w:r>
            <w:r>
              <w:rPr>
                <w:spacing w:val="-3"/>
              </w:rPr>
              <w:t xml:space="preserve"> </w:t>
            </w:r>
            <w:r>
              <w:t>By</w:t>
            </w:r>
          </w:p>
        </w:tc>
        <w:tc>
          <w:tcPr>
            <w:tcW w:w="2597" w:type="dxa"/>
            <w:vMerge/>
            <w:tcBorders>
              <w:top w:val="nil"/>
              <w:bottom w:val="single" w:sz="12" w:space="0" w:color="000000"/>
            </w:tcBorders>
          </w:tcPr>
          <w:p w14:paraId="6C1B51C7" w14:textId="77777777" w:rsidR="002251CD" w:rsidRDefault="002251CD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vMerge/>
            <w:tcBorders>
              <w:top w:val="nil"/>
              <w:bottom w:val="single" w:sz="12" w:space="0" w:color="000000"/>
            </w:tcBorders>
          </w:tcPr>
          <w:p w14:paraId="6F1D20FF" w14:textId="77777777" w:rsidR="002251CD" w:rsidRDefault="002251CD">
            <w:pPr>
              <w:rPr>
                <w:sz w:val="2"/>
                <w:szCs w:val="2"/>
              </w:rPr>
            </w:pPr>
          </w:p>
        </w:tc>
        <w:tc>
          <w:tcPr>
            <w:tcW w:w="3366" w:type="dxa"/>
            <w:vMerge/>
            <w:tcBorders>
              <w:top w:val="nil"/>
              <w:bottom w:val="single" w:sz="12" w:space="0" w:color="000000"/>
            </w:tcBorders>
          </w:tcPr>
          <w:p w14:paraId="4B87D172" w14:textId="77777777" w:rsidR="002251CD" w:rsidRDefault="002251CD">
            <w:pPr>
              <w:rPr>
                <w:sz w:val="2"/>
                <w:szCs w:val="2"/>
              </w:rPr>
            </w:pPr>
          </w:p>
        </w:tc>
      </w:tr>
    </w:tbl>
    <w:p w14:paraId="30FF39BC" w14:textId="77777777" w:rsidR="0050611E" w:rsidRDefault="0050611E">
      <w:pPr>
        <w:spacing w:before="156"/>
        <w:ind w:left="212"/>
        <w:rPr>
          <w:b/>
          <w:sz w:val="18"/>
        </w:rPr>
      </w:pPr>
    </w:p>
    <w:p w14:paraId="66B70E6C" w14:textId="45498850" w:rsidR="002251CD" w:rsidRDefault="00000000">
      <w:pPr>
        <w:spacing w:before="156"/>
        <w:ind w:left="212"/>
        <w:rPr>
          <w:sz w:val="18"/>
        </w:rPr>
      </w:pPr>
      <w:r>
        <w:rPr>
          <w:b/>
          <w:sz w:val="18"/>
        </w:rPr>
        <w:t>DIAGNOSIS</w:t>
      </w:r>
      <w:r>
        <w:rPr>
          <w:sz w:val="18"/>
        </w:rPr>
        <w:t>:</w:t>
      </w:r>
      <w:r>
        <w:rPr>
          <w:spacing w:val="-5"/>
          <w:sz w:val="18"/>
        </w:rPr>
        <w:t xml:space="preserve"> </w:t>
      </w:r>
      <w:r w:rsidR="0050611E">
        <w:rPr>
          <w:spacing w:val="-5"/>
          <w:sz w:val="18"/>
        </w:rPr>
        <w:t>Her2 IHC 2+ (Equivocal) Breast Cancer IDC</w:t>
      </w:r>
    </w:p>
    <w:p w14:paraId="17B14118" w14:textId="77777777" w:rsidR="002251CD" w:rsidRDefault="00000000">
      <w:pPr>
        <w:spacing w:before="67"/>
        <w:ind w:left="212"/>
        <w:rPr>
          <w:sz w:val="18"/>
        </w:rPr>
      </w:pPr>
      <w:r>
        <w:rPr>
          <w:b/>
          <w:sz w:val="18"/>
        </w:rPr>
        <w:t>METHODOLOGY</w:t>
      </w:r>
      <w:r>
        <w:rPr>
          <w:sz w:val="18"/>
        </w:rPr>
        <w:t>:</w:t>
      </w:r>
      <w:r>
        <w:rPr>
          <w:spacing w:val="-7"/>
          <w:sz w:val="18"/>
        </w:rPr>
        <w:t xml:space="preserve"> </w:t>
      </w:r>
      <w:r>
        <w:rPr>
          <w:sz w:val="18"/>
        </w:rPr>
        <w:t>Fluorescence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situ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Hybridization</w:t>
      </w:r>
      <w:r>
        <w:rPr>
          <w:spacing w:val="-6"/>
          <w:sz w:val="18"/>
        </w:rPr>
        <w:t xml:space="preserve"> </w:t>
      </w:r>
      <w:r>
        <w:rPr>
          <w:sz w:val="18"/>
        </w:rPr>
        <w:t>(FISH)</w:t>
      </w:r>
    </w:p>
    <w:p w14:paraId="3B4887D0" w14:textId="1B897DDB" w:rsidR="00AB038D" w:rsidRDefault="00000000" w:rsidP="0050611E">
      <w:pPr>
        <w:spacing w:before="69"/>
        <w:ind w:left="212"/>
        <w:rPr>
          <w:sz w:val="18"/>
        </w:rPr>
      </w:pPr>
      <w:r>
        <w:rPr>
          <w:b/>
          <w:sz w:val="18"/>
        </w:rPr>
        <w:t>PROBE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NAME</w:t>
      </w:r>
      <w:r>
        <w:rPr>
          <w:sz w:val="18"/>
        </w:rPr>
        <w:t>:</w:t>
      </w:r>
      <w:r>
        <w:rPr>
          <w:spacing w:val="-9"/>
          <w:sz w:val="18"/>
        </w:rPr>
        <w:t xml:space="preserve"> </w:t>
      </w:r>
      <w:r w:rsidR="00A12D59">
        <w:rPr>
          <w:spacing w:val="-9"/>
          <w:sz w:val="18"/>
        </w:rPr>
        <w:t>HEALTHCARE HER2/CEP17 dual color probe.</w:t>
      </w:r>
    </w:p>
    <w:p w14:paraId="1EB44AE7" w14:textId="77777777" w:rsidR="0050611E" w:rsidRPr="0050611E" w:rsidRDefault="0050611E" w:rsidP="0050611E">
      <w:pPr>
        <w:spacing w:before="69"/>
        <w:ind w:left="212"/>
        <w:rPr>
          <w:sz w:val="18"/>
        </w:rPr>
      </w:pPr>
    </w:p>
    <w:p w14:paraId="276107FE" w14:textId="77777777" w:rsidR="00A12D59" w:rsidRDefault="00A12D59">
      <w:pPr>
        <w:pStyle w:val="BodyText"/>
        <w:spacing w:before="1"/>
        <w:rPr>
          <w:sz w:val="20"/>
        </w:rPr>
      </w:pPr>
    </w:p>
    <w:p w14:paraId="366C551F" w14:textId="68FC3D9C" w:rsidR="002251CD" w:rsidRDefault="00000000">
      <w:pPr>
        <w:pStyle w:val="Heading1"/>
        <w:tabs>
          <w:tab w:val="left" w:pos="10842"/>
        </w:tabs>
      </w:pPr>
      <w:r>
        <w:rPr>
          <w:b w:val="0"/>
          <w:color w:val="FFFFFF"/>
          <w:shd w:val="clear" w:color="auto" w:fill="538DD3"/>
        </w:rPr>
        <w:t xml:space="preserve"> </w:t>
      </w:r>
      <w:r>
        <w:rPr>
          <w:b w:val="0"/>
          <w:color w:val="FFFFFF"/>
          <w:spacing w:val="-9"/>
          <w:shd w:val="clear" w:color="auto" w:fill="538DD3"/>
        </w:rPr>
        <w:t xml:space="preserve"> </w:t>
      </w:r>
      <w:r w:rsidR="00A12D59">
        <w:rPr>
          <w:color w:val="FFFFFF"/>
          <w:shd w:val="clear" w:color="auto" w:fill="538DD3"/>
        </w:rPr>
        <w:t>FISH</w:t>
      </w:r>
      <w:r>
        <w:rPr>
          <w:color w:val="FFFFFF"/>
          <w:shd w:val="clear" w:color="auto" w:fill="538DD3"/>
        </w:rPr>
        <w:t>:</w:t>
      </w:r>
      <w:r>
        <w:rPr>
          <w:color w:val="FFFFFF"/>
          <w:shd w:val="clear" w:color="auto" w:fill="538DD3"/>
        </w:rPr>
        <w:tab/>
      </w:r>
    </w:p>
    <w:tbl>
      <w:tblPr>
        <w:tblStyle w:val="TableGrid"/>
        <w:tblpPr w:leftFromText="180" w:rightFromText="180" w:vertAnchor="text" w:horzAnchor="page" w:tblpX="1466" w:tblpY="534"/>
        <w:tblW w:w="0" w:type="auto"/>
        <w:tblLook w:val="04A0" w:firstRow="1" w:lastRow="0" w:firstColumn="1" w:lastColumn="0" w:noHBand="0" w:noVBand="1"/>
      </w:tblPr>
      <w:tblGrid>
        <w:gridCol w:w="4154"/>
        <w:gridCol w:w="1553"/>
      </w:tblGrid>
      <w:tr w:rsidR="00AB038D" w14:paraId="0856BAFF" w14:textId="77777777" w:rsidTr="00AB038D">
        <w:trPr>
          <w:trHeight w:val="539"/>
        </w:trPr>
        <w:tc>
          <w:tcPr>
            <w:tcW w:w="4154" w:type="dxa"/>
          </w:tcPr>
          <w:p w14:paraId="41167DD2" w14:textId="77777777" w:rsidR="00AB038D" w:rsidRDefault="00AB038D" w:rsidP="00AB038D">
            <w:pPr>
              <w:pStyle w:val="BodyText"/>
            </w:pPr>
            <w:r>
              <w:t>Total number of cells scored</w:t>
            </w:r>
          </w:p>
        </w:tc>
        <w:tc>
          <w:tcPr>
            <w:tcW w:w="1553" w:type="dxa"/>
          </w:tcPr>
          <w:p w14:paraId="16E5C8D8" w14:textId="77777777" w:rsidR="00AB038D" w:rsidRDefault="00AB038D" w:rsidP="00AB038D">
            <w:pPr>
              <w:pStyle w:val="BodyText"/>
            </w:pPr>
            <w:r>
              <w:t>100</w:t>
            </w:r>
          </w:p>
        </w:tc>
      </w:tr>
      <w:tr w:rsidR="00AB038D" w14:paraId="09C6502C" w14:textId="77777777" w:rsidTr="00AB038D">
        <w:trPr>
          <w:trHeight w:val="539"/>
        </w:trPr>
        <w:tc>
          <w:tcPr>
            <w:tcW w:w="4154" w:type="dxa"/>
          </w:tcPr>
          <w:p w14:paraId="025088C8" w14:textId="77777777" w:rsidR="00AB038D" w:rsidRDefault="00AB038D" w:rsidP="00AB038D">
            <w:pPr>
              <w:pStyle w:val="BodyText"/>
            </w:pPr>
            <w:r>
              <w:t>Total number of HER2 signals</w:t>
            </w:r>
          </w:p>
        </w:tc>
        <w:tc>
          <w:tcPr>
            <w:tcW w:w="1553" w:type="dxa"/>
          </w:tcPr>
          <w:p w14:paraId="669C0059" w14:textId="193294CC" w:rsidR="00AB038D" w:rsidRDefault="00D32C55" w:rsidP="00AB038D">
            <w:pPr>
              <w:pStyle w:val="BodyText"/>
            </w:pPr>
            <w:r>
              <w:t>265</w:t>
            </w:r>
          </w:p>
        </w:tc>
      </w:tr>
      <w:tr w:rsidR="00AB038D" w14:paraId="5FAD4F79" w14:textId="77777777" w:rsidTr="00AB038D">
        <w:trPr>
          <w:trHeight w:val="539"/>
        </w:trPr>
        <w:tc>
          <w:tcPr>
            <w:tcW w:w="4154" w:type="dxa"/>
          </w:tcPr>
          <w:p w14:paraId="17FE5971" w14:textId="77777777" w:rsidR="00AB038D" w:rsidRDefault="00AB038D" w:rsidP="00AB038D">
            <w:pPr>
              <w:pStyle w:val="BodyText"/>
            </w:pPr>
            <w:r>
              <w:t>Total number of CEP17 signals</w:t>
            </w:r>
          </w:p>
        </w:tc>
        <w:tc>
          <w:tcPr>
            <w:tcW w:w="1553" w:type="dxa"/>
          </w:tcPr>
          <w:p w14:paraId="13B9F309" w14:textId="1727FDDE" w:rsidR="00AB038D" w:rsidRDefault="00D32C55" w:rsidP="00AB038D">
            <w:pPr>
              <w:pStyle w:val="BodyText"/>
            </w:pPr>
            <w:r>
              <w:t>190</w:t>
            </w:r>
          </w:p>
        </w:tc>
      </w:tr>
      <w:tr w:rsidR="00AB038D" w14:paraId="5C6C3AC6" w14:textId="77777777" w:rsidTr="00AB038D">
        <w:trPr>
          <w:trHeight w:val="539"/>
        </w:trPr>
        <w:tc>
          <w:tcPr>
            <w:tcW w:w="4154" w:type="dxa"/>
          </w:tcPr>
          <w:p w14:paraId="16CEBF6F" w14:textId="77777777" w:rsidR="00AB038D" w:rsidRDefault="00AB038D" w:rsidP="00AB038D">
            <w:pPr>
              <w:pStyle w:val="BodyText"/>
            </w:pPr>
            <w:r>
              <w:t>Average HER2 signals/cell</w:t>
            </w:r>
          </w:p>
        </w:tc>
        <w:tc>
          <w:tcPr>
            <w:tcW w:w="1553" w:type="dxa"/>
          </w:tcPr>
          <w:p w14:paraId="1492BD13" w14:textId="647F6787" w:rsidR="00AB038D" w:rsidRDefault="00D32C55" w:rsidP="00AB038D">
            <w:pPr>
              <w:pStyle w:val="BodyText"/>
            </w:pPr>
            <w:r>
              <w:t>2.65</w:t>
            </w:r>
          </w:p>
        </w:tc>
      </w:tr>
      <w:tr w:rsidR="00AB038D" w14:paraId="26679D19" w14:textId="77777777" w:rsidTr="00AB038D">
        <w:trPr>
          <w:trHeight w:val="539"/>
        </w:trPr>
        <w:tc>
          <w:tcPr>
            <w:tcW w:w="4154" w:type="dxa"/>
          </w:tcPr>
          <w:p w14:paraId="3F179299" w14:textId="77777777" w:rsidR="00AB038D" w:rsidRDefault="00AB038D" w:rsidP="00AB038D">
            <w:pPr>
              <w:pStyle w:val="BodyText"/>
            </w:pPr>
            <w:r>
              <w:t>Computed Ratio</w:t>
            </w:r>
          </w:p>
        </w:tc>
        <w:tc>
          <w:tcPr>
            <w:tcW w:w="1553" w:type="dxa"/>
          </w:tcPr>
          <w:p w14:paraId="065FDB2A" w14:textId="5799BC7D" w:rsidR="00AB038D" w:rsidRDefault="00D32C55" w:rsidP="00AB038D">
            <w:pPr>
              <w:pStyle w:val="BodyText"/>
            </w:pPr>
            <w:r>
              <w:t>1.39</w:t>
            </w:r>
          </w:p>
        </w:tc>
      </w:tr>
    </w:tbl>
    <w:p w14:paraId="37D690E2" w14:textId="26184AD1" w:rsidR="00AB038D" w:rsidRDefault="00AB038D" w:rsidP="00AB038D">
      <w:pPr>
        <w:pStyle w:val="BodyText"/>
        <w:jc w:val="right"/>
        <w:rPr>
          <w:noProof/>
        </w:rPr>
      </w:pPr>
    </w:p>
    <w:p w14:paraId="49163E7C" w14:textId="2C1F5DB5" w:rsidR="00515E73" w:rsidRDefault="0051146F" w:rsidP="00515E73">
      <w:pPr>
        <w:pStyle w:val="BodyText"/>
        <w:jc w:val="center"/>
        <w:rPr>
          <w:noProof/>
        </w:rPr>
      </w:pPr>
      <w:r w:rsidRPr="0051146F">
        <w:rPr>
          <w:noProof/>
        </w:rPr>
        <w:drawing>
          <wp:inline distT="0" distB="0" distL="0" distR="0" wp14:anchorId="57D6039E" wp14:editId="4855B6F7">
            <wp:extent cx="2000529" cy="2238687"/>
            <wp:effectExtent l="0" t="0" r="0" b="9525"/>
            <wp:docPr id="10284804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48042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0529" cy="223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310DD" w14:textId="039AE33E" w:rsidR="0050611E" w:rsidRDefault="0050611E" w:rsidP="00515E73">
      <w:pPr>
        <w:spacing w:before="1"/>
        <w:ind w:right="233"/>
        <w:rPr>
          <w:sz w:val="24"/>
        </w:rPr>
      </w:pPr>
      <w:r>
        <w:rPr>
          <w:sz w:val="24"/>
        </w:rPr>
        <w:t xml:space="preserve">        Cells</w:t>
      </w:r>
      <w:r>
        <w:rPr>
          <w:spacing w:val="-2"/>
          <w:sz w:val="24"/>
        </w:rPr>
        <w:t xml:space="preserve"> </w:t>
      </w:r>
      <w:r>
        <w:rPr>
          <w:sz w:val="24"/>
        </w:rPr>
        <w:t>showing</w:t>
      </w:r>
      <w:r>
        <w:rPr>
          <w:spacing w:val="-2"/>
          <w:sz w:val="24"/>
        </w:rPr>
        <w:t xml:space="preserve"> HER2 signals (orange) and CEP17 signals (green)</w:t>
      </w:r>
      <w:r>
        <w:rPr>
          <w:sz w:val="24"/>
        </w:rPr>
        <w:t>.</w:t>
      </w:r>
    </w:p>
    <w:p w14:paraId="63B85CB7" w14:textId="4ED17BB1" w:rsidR="00A12D59" w:rsidRDefault="00A12D59">
      <w:pPr>
        <w:pStyle w:val="BodyText"/>
      </w:pPr>
    </w:p>
    <w:p w14:paraId="1601DFBE" w14:textId="1AD04BB2" w:rsidR="002251CD" w:rsidRDefault="00000000">
      <w:pPr>
        <w:tabs>
          <w:tab w:val="left" w:pos="10842"/>
        </w:tabs>
        <w:spacing w:before="212"/>
        <w:ind w:left="100"/>
        <w:rPr>
          <w:b/>
          <w:sz w:val="24"/>
        </w:rPr>
      </w:pPr>
      <w:r>
        <w:rPr>
          <w:color w:val="FFFFFF"/>
          <w:sz w:val="24"/>
          <w:shd w:val="clear" w:color="auto" w:fill="538DD3"/>
        </w:rPr>
        <w:t xml:space="preserve"> </w:t>
      </w:r>
      <w:r w:rsidRPr="00AB038D">
        <w:rPr>
          <w:b/>
          <w:bCs/>
          <w:color w:val="FFFFFF"/>
          <w:spacing w:val="29"/>
          <w:sz w:val="24"/>
          <w:shd w:val="clear" w:color="auto" w:fill="538DD3"/>
        </w:rPr>
        <w:t xml:space="preserve"> </w:t>
      </w:r>
      <w:r w:rsidR="00AB038D">
        <w:rPr>
          <w:b/>
          <w:color w:val="FFFFFF"/>
          <w:sz w:val="24"/>
          <w:shd w:val="clear" w:color="auto" w:fill="538DD3"/>
        </w:rPr>
        <w:t>CLINICAL IN</w:t>
      </w:r>
      <w:r w:rsidR="00A12D59">
        <w:rPr>
          <w:b/>
          <w:color w:val="FFFFFF"/>
          <w:sz w:val="24"/>
          <w:shd w:val="clear" w:color="auto" w:fill="538DD3"/>
        </w:rPr>
        <w:t>TERPRETATION</w:t>
      </w:r>
      <w:r>
        <w:rPr>
          <w:b/>
          <w:color w:val="FFFFFF"/>
          <w:sz w:val="24"/>
          <w:shd w:val="clear" w:color="auto" w:fill="538DD3"/>
        </w:rPr>
        <w:t>:</w:t>
      </w:r>
      <w:r>
        <w:rPr>
          <w:b/>
          <w:color w:val="FFFFFF"/>
          <w:sz w:val="24"/>
          <w:shd w:val="clear" w:color="auto" w:fill="538DD3"/>
        </w:rPr>
        <w:tab/>
      </w:r>
    </w:p>
    <w:p w14:paraId="14ED577B" w14:textId="77777777" w:rsidR="00A12D59" w:rsidRDefault="00A12D59">
      <w:pPr>
        <w:pStyle w:val="BodyText"/>
        <w:spacing w:before="7"/>
        <w:rPr>
          <w:b/>
          <w:sz w:val="26"/>
        </w:rPr>
      </w:pPr>
    </w:p>
    <w:p w14:paraId="680CA205" w14:textId="77777777" w:rsidR="001024F1" w:rsidRDefault="001024F1">
      <w:pPr>
        <w:pStyle w:val="BodyText"/>
      </w:pPr>
      <w:r w:rsidRPr="001024F1">
        <w:t xml:space="preserve">1. Negative for HER2/neu amplification as per ASCO 2018 guidelines. </w:t>
      </w:r>
    </w:p>
    <w:p w14:paraId="7E4D47F8" w14:textId="77777777" w:rsidR="0051146F" w:rsidRDefault="001024F1" w:rsidP="001024F1">
      <w:pPr>
        <w:pStyle w:val="BodyText"/>
      </w:pPr>
      <w:r w:rsidRPr="001024F1">
        <w:t>2. 2. Her2:CEP17 ratio is &lt;2 and Average Her2 signals &lt;4 (Group 5).</w:t>
      </w:r>
      <w:r w:rsidRPr="001024F1">
        <w:cr/>
      </w:r>
    </w:p>
    <w:p w14:paraId="1BC6063F" w14:textId="730ABEF9" w:rsidR="002251CD" w:rsidRDefault="00000000" w:rsidP="001024F1">
      <w:pPr>
        <w:pStyle w:val="BodyText"/>
      </w:pPr>
      <w:r>
        <w:rPr>
          <w:color w:val="FFFFFF"/>
          <w:shd w:val="clear" w:color="auto" w:fill="538DD3"/>
        </w:rPr>
        <w:t xml:space="preserve"> </w:t>
      </w:r>
      <w:r>
        <w:rPr>
          <w:color w:val="FFFFFF"/>
          <w:spacing w:val="-9"/>
          <w:shd w:val="clear" w:color="auto" w:fill="538DD3"/>
        </w:rPr>
        <w:t xml:space="preserve"> </w:t>
      </w:r>
      <w:r>
        <w:rPr>
          <w:color w:val="FFFFFF"/>
          <w:shd w:val="clear" w:color="auto" w:fill="538DD3"/>
        </w:rPr>
        <w:t>RECOMMENDATION:</w:t>
      </w:r>
      <w:r>
        <w:rPr>
          <w:color w:val="FFFFFF"/>
          <w:shd w:val="clear" w:color="auto" w:fill="538DD3"/>
        </w:rPr>
        <w:tab/>
      </w:r>
    </w:p>
    <w:p w14:paraId="3760A035" w14:textId="620A755E" w:rsidR="002251CD" w:rsidRPr="00AB038D" w:rsidRDefault="00000000">
      <w:pPr>
        <w:spacing w:before="120" w:line="276" w:lineRule="auto"/>
        <w:ind w:left="212" w:right="327"/>
        <w:jc w:val="both"/>
        <w:rPr>
          <w:bCs/>
          <w:sz w:val="18"/>
        </w:rPr>
      </w:pPr>
      <w:r>
        <w:rPr>
          <w:b/>
          <w:sz w:val="18"/>
        </w:rPr>
        <w:t>Please Note:</w:t>
      </w:r>
      <w:r w:rsidR="00AB038D">
        <w:rPr>
          <w:b/>
          <w:sz w:val="18"/>
        </w:rPr>
        <w:t xml:space="preserve">  </w:t>
      </w:r>
      <w:r w:rsidR="0051146F" w:rsidRPr="0051146F">
        <w:rPr>
          <w:bCs/>
          <w:sz w:val="18"/>
        </w:rPr>
        <w:t xml:space="preserve">1. Evaluation of this specimen shows a normal hybridization pattern. These findings are indicative that the patient is not eligible for anti HER2 therapy (Trastuzumab). 2. Her2 gene amplification is seen 18 to 20% of invasive breast cancers. These </w:t>
      </w:r>
      <w:proofErr w:type="spellStart"/>
      <w:r w:rsidR="0051146F" w:rsidRPr="0051146F">
        <w:rPr>
          <w:bCs/>
          <w:sz w:val="18"/>
        </w:rPr>
        <w:t>tumours</w:t>
      </w:r>
      <w:proofErr w:type="spellEnd"/>
      <w:r w:rsidR="0051146F" w:rsidRPr="0051146F">
        <w:rPr>
          <w:bCs/>
          <w:sz w:val="18"/>
        </w:rPr>
        <w:t xml:space="preserve"> show increased over all survival rate with Her2 targeted therapy such as Trastuzumab. 3. It has been </w:t>
      </w:r>
      <w:proofErr w:type="spellStart"/>
      <w:r w:rsidR="0051146F" w:rsidRPr="0051146F">
        <w:rPr>
          <w:bCs/>
          <w:sz w:val="18"/>
        </w:rPr>
        <w:t>recognised</w:t>
      </w:r>
      <w:proofErr w:type="spellEnd"/>
      <w:r w:rsidR="0051146F" w:rsidRPr="0051146F">
        <w:rPr>
          <w:bCs/>
          <w:sz w:val="18"/>
        </w:rPr>
        <w:t xml:space="preserve"> as a poor prognosis indicator in early breast cancer. 4. In cases where tumor heterogeneity is present, analysis of HER2 FISH on additional blocks is recommended for conclusive result.</w:t>
      </w:r>
    </w:p>
    <w:sectPr w:rsidR="002251CD" w:rsidRPr="00AB038D">
      <w:type w:val="continuous"/>
      <w:pgSz w:w="11910" w:h="16840"/>
      <w:pgMar w:top="1600" w:right="2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CD"/>
    <w:rsid w:val="001024F1"/>
    <w:rsid w:val="002251CD"/>
    <w:rsid w:val="00305E7E"/>
    <w:rsid w:val="00342831"/>
    <w:rsid w:val="0050611E"/>
    <w:rsid w:val="0051146F"/>
    <w:rsid w:val="00515E73"/>
    <w:rsid w:val="007F35F3"/>
    <w:rsid w:val="009B09AF"/>
    <w:rsid w:val="00A12D59"/>
    <w:rsid w:val="00AB038D"/>
    <w:rsid w:val="00C02F99"/>
    <w:rsid w:val="00CA6235"/>
    <w:rsid w:val="00D32C55"/>
    <w:rsid w:val="00D5391B"/>
    <w:rsid w:val="00FA3224"/>
    <w:rsid w:val="00FE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E686D"/>
  <w15:docId w15:val="{3F9666F1-E722-4B06-8EB7-B9ACEA3D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61"/>
    </w:pPr>
  </w:style>
  <w:style w:type="table" w:styleId="TableGrid">
    <w:name w:val="Table Grid"/>
    <w:basedOn w:val="TableNormal"/>
    <w:uiPriority w:val="39"/>
    <w:rsid w:val="00A12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206</Words>
  <Characters>1121</Characters>
  <Application>Microsoft Office Word</Application>
  <DocSecurity>0</DocSecurity>
  <Lines>53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Guruansh Juneja</dc:creator>
  <cp:lastModifiedBy>User</cp:lastModifiedBy>
  <cp:revision>8</cp:revision>
  <dcterms:created xsi:type="dcterms:W3CDTF">2024-10-03T09:54:00Z</dcterms:created>
  <dcterms:modified xsi:type="dcterms:W3CDTF">2024-12-02T13:52:00Z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2023-07-12T00:00:00Z</vt:filetime>
  </property>
  <property fmtid="{D5CDD505-2E9C-101B-9397-08002B2CF9AE}" pid="5" name="GrammarlyDocumentId">
    <vt:lpwstr>f937ea8f8e1f0f6c246c622835f830501ad169fe5b39643dd50ab8fe7c302cba</vt:lpwstr>
  </property>
</Properties>
</file>