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</w:rPr>
      </w:pPr>
    </w:p>
    <w:p>
      <w:pPr>
        <w:pStyle w:val="4"/>
        <w:rPr>
          <w:rFonts w:ascii="Times New Roman"/>
          <w:b w:val="0"/>
        </w:rPr>
      </w:pPr>
    </w:p>
    <w:p>
      <w:pPr>
        <w:pStyle w:val="4"/>
        <w:rPr>
          <w:rFonts w:ascii="Times New Roman"/>
          <w:b w:val="0"/>
        </w:rPr>
      </w:pPr>
    </w:p>
    <w:p>
      <w:pPr>
        <w:pStyle w:val="4"/>
        <w:rPr>
          <w:rFonts w:ascii="Times New Roman"/>
          <w:b w:val="0"/>
        </w:rPr>
      </w:pPr>
    </w:p>
    <w:p>
      <w:pPr>
        <w:pStyle w:val="4"/>
        <w:rPr>
          <w:rFonts w:ascii="Times New Roman"/>
          <w:b w:val="0"/>
        </w:rPr>
      </w:pPr>
    </w:p>
    <w:p>
      <w:pPr>
        <w:pStyle w:val="4"/>
        <w:rPr>
          <w:rFonts w:ascii="Times New Roman"/>
          <w:b w:val="0"/>
        </w:rPr>
      </w:pP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1600" w:right="520" w:bottom="280" w:left="600" w:header="720" w:footer="720" w:gutter="0"/>
          <w:cols w:space="720" w:num="1"/>
        </w:sectPr>
      </w:pPr>
    </w:p>
    <w:p>
      <w:pPr>
        <w:pStyle w:val="4"/>
        <w:spacing w:before="3"/>
        <w:rPr>
          <w:rFonts w:ascii="Times New Roman"/>
          <w:b w:val="0"/>
          <w:sz w:val="18"/>
        </w:rPr>
      </w:pPr>
    </w:p>
    <w:p>
      <w:pPr>
        <w:pStyle w:val="4"/>
        <w:ind w:left="4648"/>
      </w:pPr>
      <w:r>
        <w:pict>
          <v:group id="_x0000_s1026" o:spid="_x0000_s1026" o:spt="203" style="position:absolute;left:0pt;margin-left:20.1pt;margin-top:-71.55pt;height:62pt;width:550.6pt;mso-position-horizontal-relative:page;z-index:-251655168;mso-width-relative:page;mso-height-relative:page;" coordorigin="402,-1431" coordsize="11012,1240">
            <o:lock v:ext="edit"/>
            <v:shape id="_x0000_s1027" o:spid="_x0000_s1027" style="position:absolute;left:402;top:-1432;height:1240;width:11012;" filled="f" stroked="t" coordorigin="402,-1431" coordsize="11012,1240" path="m402,-1426l11414,-1426m402,-196l11414,-196m407,-1431l407,-192m11409,-1422l11409,-192e">
              <v:path arrowok="t"/>
              <v:fill on="f" focussize="0,0"/>
              <v:stroke weight="0.48pt" color="#000000"/>
              <v:imagedata o:title=""/>
              <o:lock v:ext="edit"/>
            </v:shape>
            <v:shape id="_x0000_s1028" o:spid="_x0000_s1028" o:spt="202" type="#_x0000_t202" style="position:absolute;left:564;top:-1262;height:550;width:12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1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5"/>
                        <w:sz w:val="20"/>
                      </w:rPr>
                      <w:t>Name</w:t>
                    </w:r>
                    <w:r>
                      <w:rPr>
                        <w:rFonts w:ascii="Times New Roman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Patient</w:t>
                    </w:r>
                  </w:p>
                  <w:p>
                    <w:pPr>
                      <w:spacing w:before="99" w:line="230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Age/Gender</w:t>
                    </w:r>
                  </w:p>
                </w:txbxContent>
              </v:textbox>
            </v:shape>
            <v:shape id="_x0000_s1029" o:spid="_x0000_s1029" o:spt="202" type="#_x0000_t202" style="position:absolute;left:2628;top:-1262;height:550;width:13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1" w:lineRule="exact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LALCHAND</w:t>
                    </w:r>
                  </w:p>
                  <w:p>
                    <w:pPr>
                      <w:spacing w:before="99" w:line="230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3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66</w:t>
                    </w:r>
                    <w:r>
                      <w:rPr>
                        <w:rFonts w:ascii="Times New Roman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Yrs/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M</w:t>
                    </w:r>
                  </w:p>
                </w:txbxContent>
              </v:textbox>
            </v:shape>
            <v:shape id="_x0000_s1030" o:spid="_x0000_s1030" o:spt="202" type="#_x0000_t202" style="position:absolute;left:7077;top:-1262;height:550;width:7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1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Date:</w:t>
                    </w:r>
                  </w:p>
                  <w:p>
                    <w:pPr>
                      <w:spacing w:before="99" w:line="230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Barcode:</w:t>
                    </w:r>
                  </w:p>
                </w:txbxContent>
              </v:textbox>
            </v:shape>
            <v:shape id="_x0000_s1031" o:spid="_x0000_s1031" o:spt="202" type="#_x0000_t202" style="position:absolute;left:9136;top:-1262;height:514;width:8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1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03-05-22</w:t>
                    </w:r>
                  </w:p>
                  <w:p>
                    <w:pPr>
                      <w:spacing w:before="98"/>
                      <w:ind w:left="7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11611500</w:t>
                    </w:r>
                  </w:p>
                </w:txbxContent>
              </v:textbox>
            </v:shape>
            <v:shape id="_x0000_s1032" o:spid="_x0000_s1032" o:spt="202" type="#_x0000_t202" style="position:absolute;left:412;top:-650;height:221;width: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0" w:lineRule="exact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7"/>
                        <w:sz w:val="20"/>
                      </w:rPr>
                      <w:t>:</w:t>
                    </w:r>
                  </w:p>
                </w:txbxContent>
              </v:textbox>
            </v:shape>
          </v:group>
        </w:pict>
      </w:r>
      <w:r>
        <w:rPr>
          <w:u w:val="thick"/>
        </w:rPr>
        <w:t>IMMUNOASSAY</w:t>
      </w:r>
    </w:p>
    <w:p>
      <w:pPr>
        <w:tabs>
          <w:tab w:val="left" w:pos="3619"/>
          <w:tab w:val="left" w:pos="6136"/>
        </w:tabs>
        <w:spacing w:before="111" w:line="249" w:lineRule="auto"/>
        <w:ind w:left="6136" w:right="38" w:hanging="6012"/>
        <w:jc w:val="left"/>
        <w:rPr>
          <w:b/>
          <w:sz w:val="19"/>
        </w:rPr>
      </w:pPr>
      <w:r>
        <w:pict>
          <v:line id="_x0000_s1033" o:spid="_x0000_s1033" o:spt="20" style="position:absolute;left:0pt;margin-left:20.35pt;margin-top:4.55pt;height:0pt;width:550.1pt;mso-position-horizontal-relative:page;z-index:251660288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20.35pt;margin-top:31.85pt;height:0pt;width:550.1pt;mso-position-horizontal-relative:page;z-index:251660288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</v:line>
        </w:pict>
      </w:r>
      <w:r>
        <w:rPr>
          <w:b/>
          <w:sz w:val="19"/>
        </w:rPr>
        <w:t>Test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Description</w:t>
      </w:r>
      <w:r>
        <w:rPr>
          <w:b/>
          <w:sz w:val="19"/>
        </w:rPr>
        <w:tab/>
      </w:r>
      <w:r>
        <w:rPr>
          <w:b/>
          <w:sz w:val="19"/>
        </w:rPr>
        <w:t>Observed Value</w:t>
      </w:r>
      <w:r>
        <w:rPr>
          <w:b/>
          <w:sz w:val="19"/>
        </w:rPr>
        <w:tab/>
      </w:r>
      <w:r>
        <w:rPr>
          <w:b/>
          <w:sz w:val="19"/>
        </w:rPr>
        <w:t>Biological Reference</w:t>
      </w:r>
      <w:r>
        <w:rPr>
          <w:b/>
          <w:spacing w:val="-49"/>
          <w:sz w:val="19"/>
        </w:rPr>
        <w:t xml:space="preserve"> </w:t>
      </w:r>
      <w:r>
        <w:rPr>
          <w:b/>
          <w:sz w:val="19"/>
        </w:rPr>
        <w:t>Range</w:t>
      </w:r>
    </w:p>
    <w:p>
      <w:pPr>
        <w:pStyle w:val="4"/>
      </w:pPr>
      <w:r>
        <w:rPr>
          <w:b w:val="0"/>
        </w:rPr>
        <w:br w:type="column"/>
      </w:r>
    </w:p>
    <w:p>
      <w:pPr>
        <w:pStyle w:val="4"/>
        <w:spacing w:before="10"/>
        <w:rPr>
          <w:sz w:val="27"/>
        </w:rPr>
      </w:pPr>
    </w:p>
    <w:p>
      <w:pPr>
        <w:spacing w:before="0"/>
        <w:ind w:left="124" w:right="0" w:firstLine="0"/>
        <w:jc w:val="left"/>
        <w:rPr>
          <w:b/>
          <w:sz w:val="19"/>
        </w:rPr>
      </w:pPr>
      <w:r>
        <w:rPr>
          <w:b/>
          <w:sz w:val="19"/>
        </w:rPr>
        <w:t>Method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1600" w:right="520" w:bottom="280" w:left="600" w:header="720" w:footer="720" w:gutter="0"/>
          <w:cols w:equalWidth="0" w:num="2">
            <w:col w:w="8059" w:space="480"/>
            <w:col w:w="2241"/>
          </w:cols>
        </w:sectPr>
      </w:pPr>
    </w:p>
    <w:p>
      <w:pPr>
        <w:pStyle w:val="4"/>
        <w:spacing w:before="88"/>
        <w:ind w:left="1805" w:right="1774"/>
        <w:jc w:val="center"/>
      </w:pPr>
      <w:r>
        <w:t>ALLERGY</w:t>
      </w:r>
      <w:r>
        <w:rPr>
          <w:spacing w:val="21"/>
        </w:rPr>
        <w:t xml:space="preserve"> </w:t>
      </w:r>
      <w:r>
        <w:t>COMPREHENSIVE</w:t>
      </w:r>
      <w:r>
        <w:rPr>
          <w:spacing w:val="22"/>
        </w:rPr>
        <w:t xml:space="preserve"> </w:t>
      </w:r>
      <w:r>
        <w:t>PANEL(FOOD+INHALANT+NON</w:t>
      </w:r>
      <w:r>
        <w:rPr>
          <w:spacing w:val="22"/>
        </w:rPr>
        <w:t xml:space="preserve"> </w:t>
      </w:r>
      <w:r>
        <w:t>VEG+DRUG)</w:t>
      </w:r>
    </w:p>
    <w:p>
      <w:pPr>
        <w:tabs>
          <w:tab w:val="left" w:pos="3638"/>
          <w:tab w:val="left" w:pos="6153"/>
          <w:tab w:val="left" w:pos="8680"/>
        </w:tabs>
        <w:spacing w:before="98" w:line="237" w:lineRule="auto"/>
        <w:ind w:left="8673" w:right="377" w:hanging="8530"/>
        <w:jc w:val="right"/>
        <w:rPr>
          <w:rFonts w:ascii="Arial MT"/>
          <w:sz w:val="19"/>
        </w:rPr>
      </w:pPr>
      <w:r>
        <w:pict>
          <v:group id="_x0000_s1035" o:spid="_x0000_s1035" o:spt="203" style="position:absolute;left:0pt;margin-left:35.75pt;margin-top:29pt;height:50.2pt;width:528.6pt;mso-position-horizontal-relative:page;mso-wrap-distance-bottom:0pt;mso-wrap-distance-top:0pt;z-index:-251654144;mso-width-relative:page;mso-height-relative:page;" coordorigin="715,581" coordsize="10572,1004">
            <o:lock v:ext="edit"/>
            <v:rect id="_x0000_s1036" o:spid="_x0000_s1036" o:spt="1" style="position:absolute;left:715;top:580;height:12;width:10572;" fillcolor="#7E7E7E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7" o:spid="_x0000_s1037" o:spt="1" style="position:absolute;left:715;top:1571;height:12;width:10572;" fillcolor="#2C2C2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15;top:580;height:1004;width:12;" fillcolor="#7E7E7E" filled="t" stroked="f" coordorigin="715,581" coordsize="12,1004" path="m715,1584l715,581,727,581,727,1572,715,1584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27;top:580;height:1004;width:10560;" fillcolor="#2C2C2C" filled="t" stroked="f" coordorigin="727,581" coordsize="10560,1004" path="m11287,581l11280,581,11280,593,727,593,727,607,11273,607,11273,1585,11287,1585,11287,607,11287,593,11287,581xe">
              <v:path arrowok="t"/>
              <v:fill on="t" focussize="0,0"/>
              <v:stroke on="f"/>
              <v:imagedata o:title=""/>
              <o:lock v:ext="edit"/>
            </v:shape>
            <v:rect id="_x0000_s1040" o:spid="_x0000_s1040" o:spt="1" style="position:absolute;left:727;top:1559;height:12;width:10546;" fillcolor="#7E7E7E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1" o:spid="_x0000_s1041" style="position:absolute;left:727;top:592;height:980;width:12;" fillcolor="#2C2C2C" filled="t" stroked="f" coordorigin="727,593" coordsize="12,980" path="m727,1572l727,593,739,593,739,1560,727,1572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11260;top:592;height:980;width:12;" fillcolor="#7E7E7E" filled="t" stroked="f" coordorigin="11261,593" coordsize="12,980" path="m11273,1572l11261,1572,11261,607,11273,593,11273,1572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739;top:606;height:954;width:105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6" w:lineRule="exact"/>
                      <w:ind w:left="-3" w:right="0" w:firstLine="0"/>
                      <w:jc w:val="left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sz w:val="16"/>
                      </w:rPr>
                      <w:t>Interpretation:</w:t>
                    </w:r>
                  </w:p>
                  <w:p>
                    <w:pPr>
                      <w:spacing w:before="2" w:line="244" w:lineRule="auto"/>
                      <w:ind w:left="-3" w:right="158" w:firstLine="0"/>
                      <w:jc w:val="both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Having a quantitative Total IgE test result when investigating patients with suspected allergy opens up important new possibilities. Together with the</w:t>
                    </w:r>
                    <w:r>
                      <w:rPr>
                        <w:rFonts w:asci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medical</w:t>
                    </w:r>
                    <w:r>
                      <w:rPr>
                        <w:rFonts w:ascii="Cambria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history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and</w:t>
                    </w:r>
                    <w:r>
                      <w:rPr>
                        <w:rFonts w:asci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physical</w:t>
                    </w:r>
                    <w:r>
                      <w:rPr>
                        <w:rFonts w:asci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examination,</w:t>
                    </w:r>
                    <w:r>
                      <w:rPr>
                        <w:rFonts w:asci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you</w:t>
                    </w:r>
                    <w:r>
                      <w:rPr>
                        <w:rFonts w:ascii="Cambria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will</w:t>
                    </w:r>
                    <w:r>
                      <w:rPr>
                        <w:rFonts w:asci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be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able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to</w:t>
                    </w:r>
                    <w:r>
                      <w:rPr>
                        <w:rFonts w:asci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6"/>
                      </w:rPr>
                      <w:t>plan</w:t>
                    </w:r>
                    <w:r>
                      <w:rPr>
                        <w:rFonts w:asci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the</w:t>
                    </w:r>
                    <w:r>
                      <w:rPr>
                        <w:rFonts w:ascii="Cambria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best</w:t>
                    </w:r>
                    <w:r>
                      <w:rPr>
                        <w:rFonts w:asci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possible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treatment.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In</w:t>
                    </w:r>
                    <w:r>
                      <w:rPr>
                        <w:rFonts w:ascii="Cambria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some</w:t>
                    </w:r>
                    <w:r>
                      <w:rPr>
                        <w:rFonts w:ascii="Cambria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cases,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you</w:t>
                    </w:r>
                    <w:r>
                      <w:rPr>
                        <w:rFonts w:ascii="Cambria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may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even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rule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out</w:t>
                    </w:r>
                    <w:r>
                      <w:rPr>
                        <w:rFonts w:asci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allergy</w:t>
                    </w:r>
                    <w:r>
                      <w:rPr>
                        <w:rFonts w:asci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as</w:t>
                    </w:r>
                    <w:r>
                      <w:rPr>
                        <w:rFonts w:asci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the</w:t>
                    </w:r>
                    <w:r>
                      <w:rPr>
                        <w:rFonts w:ascii="Cambria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cause</w:t>
                    </w:r>
                    <w:r>
                      <w:rPr>
                        <w:rFonts w:ascii="Cambria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and</w:t>
                    </w:r>
                    <w:r>
                      <w:rPr>
                        <w:rFonts w:ascii="Cambria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thereby</w:t>
                    </w:r>
                    <w:r>
                      <w:rPr>
                        <w:rFonts w:ascii="Cambria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reducing</w:t>
                    </w:r>
                    <w:r>
                      <w:rPr>
                        <w:rFonts w:ascii="Cambria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worry</w:t>
                    </w:r>
                    <w:r>
                      <w:rPr>
                        <w:rFonts w:ascii="Cambria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and</w:t>
                    </w:r>
                    <w:r>
                      <w:rPr>
                        <w:rFonts w:ascii="Cambria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unnecessary</w:t>
                    </w:r>
                    <w:r>
                      <w:rPr>
                        <w:rFonts w:ascii="Cambria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food</w:t>
                    </w:r>
                    <w:r>
                      <w:rPr>
                        <w:rFonts w:ascii="Cambria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avoidance</w:t>
                    </w:r>
                    <w:r>
                      <w:rPr>
                        <w:rFonts w:ascii="Cambria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6"/>
                      </w:rPr>
                      <w:t>!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ascii="Arial MT"/>
          <w:w w:val="95"/>
          <w:sz w:val="19"/>
        </w:rPr>
        <w:t>Total</w:t>
      </w:r>
      <w:r>
        <w:rPr>
          <w:rFonts w:ascii="Arial MT"/>
          <w:spacing w:val="-13"/>
          <w:w w:val="95"/>
          <w:sz w:val="19"/>
        </w:rPr>
        <w:t xml:space="preserve"> </w:t>
      </w:r>
      <w:r>
        <w:rPr>
          <w:rFonts w:ascii="Arial MT"/>
          <w:w w:val="95"/>
          <w:sz w:val="19"/>
        </w:rPr>
        <w:t>IgE</w:t>
      </w:r>
      <w:r>
        <w:rPr>
          <w:rFonts w:ascii="Arial MT"/>
          <w:w w:val="95"/>
          <w:sz w:val="19"/>
        </w:rPr>
        <w:tab/>
      </w:r>
      <w:r>
        <w:rPr>
          <w:rFonts w:ascii="Arial MT"/>
          <w:sz w:val="19"/>
        </w:rPr>
        <w:t>15.8</w:t>
      </w:r>
      <w:r>
        <w:rPr>
          <w:rFonts w:ascii="Arial MT"/>
          <w:sz w:val="19"/>
        </w:rPr>
        <w:tab/>
      </w:r>
      <w:r>
        <w:rPr>
          <w:rFonts w:ascii="Arial MT"/>
          <w:spacing w:val="-3"/>
          <w:sz w:val="19"/>
        </w:rPr>
        <w:t>0-100</w:t>
      </w:r>
      <w:r>
        <w:rPr>
          <w:rFonts w:ascii="Arial MT"/>
          <w:spacing w:val="-17"/>
          <w:sz w:val="19"/>
        </w:rPr>
        <w:t xml:space="preserve"> </w:t>
      </w:r>
      <w:r>
        <w:rPr>
          <w:rFonts w:ascii="Arial MT"/>
          <w:spacing w:val="-3"/>
          <w:sz w:val="19"/>
        </w:rPr>
        <w:t>IU/ml</w:t>
      </w:r>
      <w:r>
        <w:rPr>
          <w:rFonts w:ascii="Arial MT"/>
          <w:spacing w:val="-3"/>
          <w:sz w:val="19"/>
        </w:rPr>
        <w:tab/>
      </w:r>
      <w:r>
        <w:rPr>
          <w:rFonts w:ascii="Arial MT"/>
          <w:spacing w:val="-3"/>
          <w:sz w:val="19"/>
        </w:rPr>
        <w:tab/>
      </w:r>
      <w:r>
        <w:rPr>
          <w:rFonts w:ascii="Arial MT"/>
          <w:sz w:val="19"/>
        </w:rPr>
        <w:t>Chemiluminescence</w:t>
      </w:r>
      <w:r>
        <w:rPr>
          <w:rFonts w:ascii="Arial MT"/>
          <w:spacing w:val="-50"/>
          <w:sz w:val="19"/>
        </w:rPr>
        <w:t xml:space="preserve"> </w:t>
      </w:r>
      <w:r>
        <w:rPr>
          <w:rFonts w:ascii="Arial MT"/>
          <w:spacing w:val="-4"/>
          <w:sz w:val="19"/>
        </w:rPr>
        <w:t>Immunoassay</w:t>
      </w:r>
      <w:r>
        <w:rPr>
          <w:rFonts w:ascii="Arial MT"/>
          <w:spacing w:val="-8"/>
          <w:sz w:val="19"/>
        </w:rPr>
        <w:t xml:space="preserve"> </w:t>
      </w:r>
      <w:r>
        <w:rPr>
          <w:rFonts w:ascii="Arial MT"/>
          <w:spacing w:val="-4"/>
          <w:sz w:val="19"/>
        </w:rPr>
        <w:t>(CLIA)</w:t>
      </w:r>
    </w:p>
    <w:p>
      <w:pPr>
        <w:pStyle w:val="4"/>
        <w:rPr>
          <w:rFonts w:ascii="Arial MT"/>
          <w:b w:val="0"/>
        </w:rPr>
      </w:pPr>
    </w:p>
    <w:p>
      <w:pPr>
        <w:pStyle w:val="4"/>
        <w:spacing w:before="7"/>
        <w:rPr>
          <w:rFonts w:ascii="Arial MT"/>
          <w:b w:val="0"/>
          <w:sz w:val="16"/>
        </w:rPr>
      </w:pPr>
    </w:p>
    <w:p>
      <w:pPr>
        <w:pStyle w:val="5"/>
      </w:pPr>
      <w:bookmarkStart w:id="0" w:name="_GoBack"/>
      <w:bookmarkEnd w:id="0"/>
      <w:r>
        <w:pict>
          <v:rect id="_x0000_s1044" o:spid="_x0000_s1044" o:spt="1" style="position:absolute;left:0pt;margin-left:30pt;margin-top:-3.55pt;height:1pt;width:540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***</w:t>
      </w:r>
      <w:r>
        <w:rPr>
          <w:spacing w:val="-1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 Report ***</w:t>
      </w:r>
    </w:p>
    <w:sectPr>
      <w:type w:val="continuous"/>
      <w:pgSz w:w="11900" w:h="16840"/>
      <w:pgMar w:top="1600" w:right="52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3DD4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paragraph" w:styleId="5">
    <w:name w:val="Title"/>
    <w:basedOn w:val="1"/>
    <w:qFormat/>
    <w:uiPriority w:val="1"/>
    <w:pPr>
      <w:ind w:left="1648" w:right="1774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5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194</Characters>
  <TotalTime>2</TotalTime>
  <ScaleCrop>false</ScaleCrop>
  <LinksUpToDate>false</LinksUpToDate>
  <CharactersWithSpaces>215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2022-05-11T06:38:00Z</dcterms:created>
  <dc:creator>User</dc:creator>
  <cp:lastModifiedBy>User</cp:lastModifiedBy>
  <dcterms:modified xsi:type="dcterms:W3CDTF">2022-05-11T06:41:40Z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278423DE71E34C0EAFAD8A425AA31D1A</vt:lpwstr>
  </property>
</Properties>
</file>